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 Business Continuity and Disaster Recovery</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"BCDR Plan"</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Contracting Authority which are related to the Deliverables from time to time;</w:t>
            </w:r>
          </w:p>
        </w:tc>
      </w:tr>
      <w:tr>
        <w:trPr>
          <w:cantSplit w:val="0"/>
          <w:trHeight w:val="567" w:hRule="atLeast"/>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bl>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Contracting Authority and the Supplier recognise that, where specified in Framework Schedule 4 (Framework Management), CCS shall have the right to enforce the Contracting Authority's rights under this Schedule.</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Within thirty (30) Days of the Call-Off Start Date the Supplier shall prepare and deliver to the Contracting Authority for the Contracting Authority’s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1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three sections: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Contracting Authority by a Related Supplier;</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Contracting Authority and any Related Suppliers with respect to business continuity and disaster recovery;</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Contracting Authority and any of its other Related Supplier in each case as notified to the Supplier by the Contracting Authority from time to time;</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Contracting Authority;</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Contracting Authority has agreed it will assume in the event of the invocation of the BCDR Plan; and</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Contracting Authority as required by the Contracting Authority to inform decisions in support of the Contracting Authority’s business continuity plans.</w:t>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Contracting Authority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Contracting Authority Premises;</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Contracting Authority Premises;</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where the Contracting Authority requests in writing any additional reviews (over and above those provided for in Paragraphs 6.1.1 and 6.1.2 of this Schedule) whereupon the Supplier shall conduct such reviews in accordance with the Contracting Authority’s written requirements. Prior to starting its review, the Supplier shall provide an accurate written estimate of the total costs payable by the Contracting Authority for the Contracting Authority’s approval.  The costs of both Parties of any such additional reviews shall be met by the Contracting Authority except that the Supplier shall not be entitled to charge the Contracting Authority for any costs that it may incur above any estimate without the Contracting Authority’s prior written approval. </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Contracting Authority shall reasonably require.  </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The Supplier shall, within twenty (20) Working Days of the conclusion of each such review of the BCDR Plan, provide to the Contracting Authority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w:cs="Arial" w:eastAsia="Arial" w:hAnsi="Arial"/>
          <w:b w:val="1"/>
          <w:color w:val="000000"/>
          <w:sz w:val="24"/>
          <w:szCs w:val="24"/>
        </w:rPr>
      </w:pPr>
      <w:bookmarkStart w:colFirst="0" w:colLast="0" w:name="_heading=h.z337ya" w:id="18"/>
      <w:bookmarkEnd w:id="18"/>
      <w:r w:rsidDel="00000000" w:rsidR="00000000" w:rsidRPr="00000000">
        <w:rPr>
          <w:rFonts w:ascii="Arial" w:cs="Arial" w:eastAsia="Arial" w:hAnsi="Arial"/>
          <w:b w:val="1"/>
          <w:color w:val="000000"/>
          <w:sz w:val="24"/>
          <w:szCs w:val="24"/>
          <w:rtl w:val="0"/>
        </w:rPr>
        <w:t xml:space="preserve">Testing the BCDR Plan</w:t>
      </w:r>
    </w:p>
    <w:p w:rsidR="00000000" w:rsidDel="00000000" w:rsidP="00000000" w:rsidRDefault="00000000" w:rsidRPr="00000000" w14:paraId="0000005D">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Contracting Authority considers it necessary (acting in its sole discretion).  </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If the Contracting Authority requires an additional test of the BCDR Plan, it shall give the Supplier written notice and the Supplier shall conduct the test in accordance with the Contracting Authority’s requirements and the relevant provisions of the BCDR Plan.  The Supplier's costs of the additional test shall be borne by the Contracting Authority unless the BCDR Plan fails the additional test in which case the Supplier's costs of that failed test shall be borne by the Supplier.</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Contracting Authority and shall liaise with the Contracting Authority in respect of the planning, performance, and review, of each test, and shall comply with the reasonable requirements of the Contracting Authority. </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Contracting Authority. Copies of live test data used in any such testing shall be (if so required by the Contracting Authority) destroyed or returned to the Contracting Authority on completion of the test.</w:t>
      </w:r>
    </w:p>
    <w:p w:rsidR="00000000" w:rsidDel="00000000" w:rsidP="00000000" w:rsidRDefault="00000000" w:rsidRPr="00000000" w14:paraId="0000006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Contracting Authority a report setting out:</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1"/>
      <w:bookmarkEnd w:id="21"/>
      <w:r w:rsidDel="00000000" w:rsidR="00000000" w:rsidRPr="00000000">
        <w:rPr>
          <w:color w:val="000000"/>
          <w:sz w:val="24"/>
          <w:szCs w:val="24"/>
          <w:rtl w:val="0"/>
        </w:rPr>
        <w:t xml:space="preserve">Following each test, the Supplier shall take all measures requested by the Contracting Authority to remedy any failures in the BCDR Plan and such remedial activity and re-testing shall be completed by the Supplier, at its own cost, by the date reasonably required by the Contracting Authority.</w:t>
      </w:r>
    </w:p>
    <w:p w:rsidR="00000000" w:rsidDel="00000000" w:rsidP="00000000" w:rsidRDefault="00000000" w:rsidRPr="00000000" w14:paraId="0000006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rPr>
      </w:pPr>
      <w:bookmarkStart w:colFirst="0" w:colLast="0" w:name="_heading=h.2xcytpi" w:id="22"/>
      <w:bookmarkEnd w:id="22"/>
      <w:r w:rsidDel="00000000" w:rsidR="00000000" w:rsidRPr="00000000">
        <w:rPr>
          <w:rFonts w:ascii="Arial" w:cs="Arial" w:eastAsia="Arial" w:hAnsi="Arial"/>
          <w:b w:val="1"/>
          <w:color w:val="000000"/>
          <w:sz w:val="24"/>
          <w:szCs w:val="24"/>
          <w:rtl w:val="0"/>
        </w:rPr>
        <w:t xml:space="preserve">Invoking the BCDR Plan</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Contracting Authority promptly of such invocation). In all other instances the Supplier shall invoke or test the BCDR Plan only with the prior consent of the Contracting Authority.</w:t>
      </w:r>
    </w:p>
    <w:p w:rsidR="00000000" w:rsidDel="00000000" w:rsidP="00000000" w:rsidRDefault="00000000" w:rsidRPr="00000000" w14:paraId="0000006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w:cs="Arial" w:eastAsia="Arial" w:hAnsi="Arial"/>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a6a6a6"/>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right"/>
      <w:rPr>
        <w:color w:val="000000"/>
        <w:sz w:val="20"/>
        <w:szCs w:val="20"/>
      </w:rPr>
    </w:pPr>
    <w:r w:rsidDel="00000000" w:rsidR="00000000" w:rsidRPr="00000000">
      <w:rPr>
        <w:color w:val="000000"/>
        <w:sz w:val="20"/>
        <w:szCs w:val="20"/>
        <w:highlight w:val="whit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Normal0" w:customStyle="1">
    <w:name w:val="Normal0"/>
    <w:qFormat w:val="1"/>
    <w:pPr>
      <w:overflowPunct w:val="0"/>
      <w:autoSpaceDE w:val="0"/>
      <w:autoSpaceDN w:val="0"/>
      <w:adjustRightInd w:val="0"/>
      <w:textAlignment w:val="baseline"/>
    </w:pPr>
    <w:rPr>
      <w:rFonts w:eastAsia="Times New Roman"/>
    </w:rPr>
  </w:style>
  <w:style w:type="table" w:styleId="NormalTable0" w:customStyle="1">
    <w:name w:val="Normal Table0"/>
    <w:uiPriority w:val="99"/>
    <w:semiHidden w:val="1"/>
    <w:unhideWhenUsed w:val="1"/>
    <w:tblPr>
      <w:tblInd w:w="0.0" w:type="dxa"/>
      <w:tblCellMar>
        <w:top w:w="0.0" w:type="dxa"/>
        <w:left w:w="108.0" w:type="dxa"/>
        <w:bottom w:w="0.0" w:type="dxa"/>
        <w:right w:w="108.0" w:type="dxa"/>
      </w:tblCellMar>
    </w:tblPr>
  </w:style>
  <w:style w:type="paragraph" w:styleId="Header">
    <w:name w:val="header"/>
    <w:basedOn w:val="Normal0"/>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0"/>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0"/>
    <w:qFormat w:val="1"/>
    <w:pPr>
      <w:spacing w:after="0"/>
      <w:ind w:left="0"/>
    </w:pPr>
    <w:rPr>
      <w:color w:val="ffffff"/>
      <w:sz w:val="16"/>
      <w:szCs w:val="16"/>
    </w:rPr>
  </w:style>
  <w:style w:type="paragraph" w:styleId="GPSL1CLAUSEHEADING" w:customStyle="1">
    <w:name w:val="GPS L1 CLAUSE HEADING"/>
    <w:basedOn w:val="Normal0"/>
    <w:next w:val="Normal0"/>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0"/>
    <w:link w:val="GPSL2numberedclauseChar1"/>
    <w:qFormat w:val="1"/>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0"/>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0"/>
    <w:qFormat w:val="1"/>
    <w:pPr>
      <w:spacing w:after="120"/>
      <w:ind w:left="-108"/>
      <w:jc w:val="left"/>
    </w:pPr>
    <w:rPr>
      <w:b w:val="1"/>
    </w:rPr>
  </w:style>
  <w:style w:type="paragraph" w:styleId="GPsDefinition" w:customStyle="1">
    <w:name w:val="GPs Definition"/>
    <w:basedOn w:val="Normal0"/>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0"/>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0"/>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NormalTable0"/>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ind w:hanging="1418"/>
    </w:pPr>
    <w:rPr>
      <w:rFonts w:ascii="Georgia" w:cs="Georgia" w:eastAsia="Georgia" w:hAnsi="Georgia"/>
      <w:i w:val="1"/>
      <w:color w:val="666666"/>
      <w:sz w:val="48"/>
      <w:szCs w:val="48"/>
    </w:rPr>
  </w:style>
  <w:style w:type="table" w:styleId="a" w:customStyle="1">
    <w:basedOn w:val="NormalTable0"/>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character" w:styleId="normaltextrun" w:customStyle="1">
    <w:name w:val="normaltextrun"/>
    <w:basedOn w:val="DefaultParagraphFont"/>
    <w:rsid w:val="004D0871"/>
  </w:style>
  <w:style w:type="character" w:styleId="eop" w:customStyle="1">
    <w:name w:val="eop"/>
    <w:basedOn w:val="DefaultParagraphFont"/>
    <w:rsid w:val="004D0871"/>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1418"/>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ND9jvo97Y3SCS8XKAeo94EafG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4AHIhMTJxamRST1ItM0txbTE1Y1VEVGpweDQzYkNxMkhLMW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0x0101009CEFB75345CA724198A07DE6383DACB7</vt:lpwstr>
  </property>
  <property fmtid="{D5CDD505-2E9C-101B-9397-08002B2CF9AE}" pid="4" name="MediaServiceImageTags">
    <vt:lpwstr>MediaServiceImageTags</vt:lpwstr>
  </property>
  <property fmtid="{D5CDD505-2E9C-101B-9397-08002B2CF9AE}" pid="5" name="MSIP_Label_d8a60473-494b-4586-a1bb-b0e663054676_Enabled">
    <vt:lpwstr>true</vt:lpwstr>
  </property>
  <property fmtid="{D5CDD505-2E9C-101B-9397-08002B2CF9AE}" pid="6" name="MSIP_Label_d8a60473-494b-4586-a1bb-b0e663054676_SetDate">
    <vt:lpwstr>2024-03-08T08:25:10Z</vt:lpwstr>
  </property>
  <property fmtid="{D5CDD505-2E9C-101B-9397-08002B2CF9AE}" pid="7" name="MSIP_Label_d8a60473-494b-4586-a1bb-b0e663054676_Method">
    <vt:lpwstr>Privileged</vt:lpwstr>
  </property>
  <property fmtid="{D5CDD505-2E9C-101B-9397-08002B2CF9AE}" pid="8" name="MSIP_Label_d8a60473-494b-4586-a1bb-b0e663054676_Name">
    <vt:lpwstr>MOD-1-O-‘UNMARKED’</vt:lpwstr>
  </property>
  <property fmtid="{D5CDD505-2E9C-101B-9397-08002B2CF9AE}" pid="9" name="MSIP_Label_d8a60473-494b-4586-a1bb-b0e663054676_SiteId">
    <vt:lpwstr>be7760ed-5953-484b-ae95-d0a16dfa09e5</vt:lpwstr>
  </property>
  <property fmtid="{D5CDD505-2E9C-101B-9397-08002B2CF9AE}" pid="10" name="MSIP_Label_d8a60473-494b-4586-a1bb-b0e663054676_ActionId">
    <vt:lpwstr>70ebd2b4-2487-49b2-8f02-e108f1cf310e</vt:lpwstr>
  </property>
  <property fmtid="{D5CDD505-2E9C-101B-9397-08002B2CF9AE}" pid="11" name="MSIP_Label_d8a60473-494b-4586-a1bb-b0e663054676_ContentBits">
    <vt:lpwstr>0</vt:lpwstr>
  </property>
</Properties>
</file>